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71" w:rsidRDefault="00BF7E71">
      <w:pPr>
        <w:spacing w:after="200" w:line="276" w:lineRule="auto"/>
        <w:rPr>
          <w:b/>
          <w:sz w:val="28"/>
          <w:szCs w:val="28"/>
        </w:rPr>
      </w:pPr>
    </w:p>
    <w:p w:rsidR="00BF7E71" w:rsidRDefault="00BF7E71">
      <w:pPr>
        <w:spacing w:after="200" w:line="276" w:lineRule="auto"/>
        <w:rPr>
          <w:b/>
          <w:sz w:val="28"/>
          <w:szCs w:val="28"/>
        </w:rPr>
      </w:pPr>
    </w:p>
    <w:p w:rsidR="00BF7E71" w:rsidRDefault="00BF7E71">
      <w:pPr>
        <w:spacing w:after="200" w:line="276" w:lineRule="auto"/>
        <w:rPr>
          <w:b/>
          <w:sz w:val="28"/>
          <w:szCs w:val="28"/>
        </w:rPr>
      </w:pPr>
    </w:p>
    <w:p w:rsidR="00BF7E71" w:rsidRDefault="00BF7E71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D:\Documents and Settings\Admin\Рабочий стол\НОВЫЕ ДОКУМЕНТЫ\2018\Сайт школы\сайт школа им. свт. Т. Задонского\Образование\Учебный план\календарный график\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ОВЫЕ ДОКУМЕНТЫ\2018\Сайт школы\сайт школа им. свт. Т. Задонского\Образование\Учебный план\календарный график\1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06" w:rsidRPr="00983058" w:rsidRDefault="00345106" w:rsidP="00B82D46">
      <w:pPr>
        <w:rPr>
          <w:b/>
          <w:sz w:val="28"/>
          <w:szCs w:val="28"/>
        </w:rPr>
      </w:pPr>
    </w:p>
    <w:p w:rsidR="00345106" w:rsidRPr="00983058" w:rsidRDefault="00345106" w:rsidP="00B82D46">
      <w:pPr>
        <w:rPr>
          <w:b/>
          <w:sz w:val="28"/>
          <w:szCs w:val="28"/>
        </w:rPr>
      </w:pPr>
    </w:p>
    <w:p w:rsidR="00A202C6" w:rsidRDefault="00A202C6" w:rsidP="00B82D46">
      <w:pPr>
        <w:rPr>
          <w:b/>
          <w:sz w:val="28"/>
          <w:szCs w:val="28"/>
        </w:rPr>
      </w:pPr>
      <w:r w:rsidRPr="00991B32">
        <w:rPr>
          <w:b/>
          <w:sz w:val="28"/>
          <w:szCs w:val="28"/>
        </w:rPr>
        <w:t xml:space="preserve">Пояснительная записка к </w:t>
      </w:r>
      <w:r>
        <w:rPr>
          <w:b/>
          <w:sz w:val="28"/>
          <w:szCs w:val="28"/>
        </w:rPr>
        <w:t xml:space="preserve">плану внеурочной деятельности </w:t>
      </w:r>
    </w:p>
    <w:p w:rsidR="00A202C6" w:rsidRPr="00991B32" w:rsidRDefault="00A202C6" w:rsidP="00A20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A202C6" w:rsidRDefault="00B82D46" w:rsidP="00A202C6">
      <w:pPr>
        <w:ind w:left="360"/>
        <w:jc w:val="center"/>
        <w:rPr>
          <w:b/>
          <w:sz w:val="28"/>
          <w:szCs w:val="28"/>
        </w:rPr>
      </w:pPr>
      <w:r w:rsidRPr="00C46EA6">
        <w:rPr>
          <w:b/>
          <w:sz w:val="28"/>
          <w:szCs w:val="28"/>
        </w:rPr>
        <w:t>на 2016-2017</w:t>
      </w:r>
      <w:r w:rsidR="00A202C6" w:rsidRPr="00C46EA6">
        <w:rPr>
          <w:b/>
          <w:sz w:val="28"/>
          <w:szCs w:val="28"/>
        </w:rPr>
        <w:t xml:space="preserve"> учебный год</w:t>
      </w:r>
    </w:p>
    <w:p w:rsidR="00C46EA6" w:rsidRPr="00C46EA6" w:rsidRDefault="00C46EA6" w:rsidP="00A202C6">
      <w:pPr>
        <w:ind w:left="360"/>
        <w:jc w:val="center"/>
        <w:rPr>
          <w:b/>
          <w:sz w:val="28"/>
          <w:szCs w:val="28"/>
        </w:rPr>
      </w:pPr>
    </w:p>
    <w:p w:rsidR="00A202C6" w:rsidRPr="00C46EA6" w:rsidRDefault="00B82D46" w:rsidP="00A202C6">
      <w:pPr>
        <w:ind w:right="-142" w:firstLine="709"/>
        <w:jc w:val="both"/>
        <w:rPr>
          <w:sz w:val="28"/>
          <w:szCs w:val="28"/>
        </w:rPr>
      </w:pPr>
      <w:r w:rsidRPr="00C46EA6">
        <w:rPr>
          <w:sz w:val="28"/>
          <w:szCs w:val="28"/>
        </w:rPr>
        <w:t>План внеурочной деятельности ЧОУ «Школа имени святителя Тихона Задонского» обеспечивает введение в действие и реализацию требований Федерального государственного образовательного стандарта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B82D46" w:rsidRPr="00C46EA6" w:rsidRDefault="00B82D46" w:rsidP="00A202C6">
      <w:pPr>
        <w:ind w:right="-142" w:firstLine="709"/>
        <w:jc w:val="both"/>
        <w:rPr>
          <w:sz w:val="28"/>
          <w:szCs w:val="28"/>
        </w:rPr>
      </w:pPr>
      <w:r w:rsidRPr="00C46EA6">
        <w:rPr>
          <w:sz w:val="28"/>
          <w:szCs w:val="28"/>
        </w:rPr>
        <w:t>При разработке плана использовались следующие документы:</w:t>
      </w:r>
    </w:p>
    <w:p w:rsidR="00B82D46" w:rsidRPr="00C46EA6" w:rsidRDefault="00B82D46" w:rsidP="00A202C6">
      <w:pPr>
        <w:ind w:right="-142" w:firstLine="709"/>
        <w:jc w:val="both"/>
        <w:rPr>
          <w:sz w:val="28"/>
          <w:szCs w:val="28"/>
        </w:rPr>
      </w:pPr>
      <w:r w:rsidRPr="00C46EA6">
        <w:rPr>
          <w:sz w:val="28"/>
          <w:szCs w:val="28"/>
        </w:rPr>
        <w:t>- Закон «Об образовании Российской Федерации» от 29.12. 2012 года № 273</w:t>
      </w:r>
      <w:r w:rsidR="00C46EA6" w:rsidRPr="00C46EA6">
        <w:rPr>
          <w:sz w:val="28"/>
          <w:szCs w:val="28"/>
        </w:rPr>
        <w:t>-ФЗ</w:t>
      </w:r>
    </w:p>
    <w:p w:rsidR="00C46EA6" w:rsidRDefault="00C46EA6" w:rsidP="00A202C6">
      <w:pPr>
        <w:ind w:right="-142" w:firstLine="709"/>
        <w:jc w:val="both"/>
        <w:rPr>
          <w:sz w:val="28"/>
          <w:szCs w:val="28"/>
        </w:rPr>
      </w:pPr>
      <w:r w:rsidRPr="00C46EA6">
        <w:rPr>
          <w:sz w:val="28"/>
          <w:szCs w:val="28"/>
        </w:rPr>
        <w:t xml:space="preserve">- Федеральный государственный образовательный стандарт начального общего образования </w:t>
      </w:r>
      <w:r w:rsidRPr="00357394">
        <w:rPr>
          <w:sz w:val="28"/>
          <w:szCs w:val="28"/>
        </w:rPr>
        <w:t>(утвержден приказом Мин</w:t>
      </w:r>
      <w:r>
        <w:rPr>
          <w:sz w:val="28"/>
          <w:szCs w:val="28"/>
        </w:rPr>
        <w:t xml:space="preserve">истерства </w:t>
      </w:r>
      <w:r w:rsidRPr="00357394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357394">
        <w:rPr>
          <w:sz w:val="28"/>
          <w:szCs w:val="28"/>
        </w:rPr>
        <w:t>науки России от 6 октября 2009 г. № 373, зарегистрирован в Минюсте России 22 декабря 2009 г., регистрационный номер 17785)</w:t>
      </w:r>
      <w:r>
        <w:rPr>
          <w:sz w:val="28"/>
          <w:szCs w:val="28"/>
        </w:rPr>
        <w:t xml:space="preserve"> в действующей редакции</w:t>
      </w:r>
    </w:p>
    <w:p w:rsidR="00C46EA6" w:rsidRDefault="00C46EA6" w:rsidP="00A202C6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4.10.2010 г. № 986)</w:t>
      </w:r>
    </w:p>
    <w:p w:rsidR="00C46EA6" w:rsidRDefault="00C46EA6" w:rsidP="00C46EA6">
      <w:pPr>
        <w:ind w:right="-142"/>
        <w:jc w:val="both"/>
        <w:rPr>
          <w:sz w:val="28"/>
        </w:rPr>
      </w:pPr>
      <w:r>
        <w:rPr>
          <w:sz w:val="28"/>
          <w:szCs w:val="28"/>
        </w:rPr>
        <w:t xml:space="preserve">        - </w:t>
      </w:r>
      <w:r w:rsidRPr="00C46EA6">
        <w:rPr>
          <w:sz w:val="28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</w:t>
      </w:r>
    </w:p>
    <w:p w:rsidR="00C46EA6" w:rsidRDefault="00C46EA6" w:rsidP="00C46EA6">
      <w:pPr>
        <w:ind w:right="-142"/>
        <w:jc w:val="both"/>
        <w:rPr>
          <w:sz w:val="28"/>
        </w:rPr>
      </w:pPr>
      <w:r w:rsidRPr="0095325E">
        <w:rPr>
          <w:sz w:val="28"/>
        </w:rPr>
        <w:t>- Письмо Министерства образования и науки РФ «Об организации внеурочной деятельности при введении федерального государственного стандарта начального общего образования»</w:t>
      </w:r>
      <w:r w:rsidR="0095325E" w:rsidRPr="0095325E">
        <w:rPr>
          <w:color w:val="000000"/>
          <w:sz w:val="28"/>
          <w:szCs w:val="27"/>
          <w:shd w:val="clear" w:color="auto" w:fill="FFFFFF"/>
        </w:rPr>
        <w:t>от 12.05.2011 г. №03-296</w:t>
      </w:r>
    </w:p>
    <w:p w:rsidR="00C46EA6" w:rsidRDefault="00C46EA6" w:rsidP="00C46EA6">
      <w:pPr>
        <w:ind w:right="-142"/>
        <w:jc w:val="both"/>
        <w:rPr>
          <w:sz w:val="28"/>
        </w:rPr>
      </w:pPr>
    </w:p>
    <w:p w:rsidR="00C46EA6" w:rsidRDefault="00C46EA6" w:rsidP="00C46EA6">
      <w:pPr>
        <w:ind w:right="-142"/>
        <w:jc w:val="both"/>
        <w:rPr>
          <w:sz w:val="28"/>
        </w:rPr>
      </w:pPr>
    </w:p>
    <w:p w:rsidR="00C46EA6" w:rsidRDefault="00C46EA6" w:rsidP="00C46EA6">
      <w:pPr>
        <w:ind w:right="-142"/>
        <w:jc w:val="center"/>
        <w:rPr>
          <w:b/>
          <w:sz w:val="28"/>
        </w:rPr>
      </w:pPr>
      <w:r>
        <w:rPr>
          <w:b/>
          <w:sz w:val="28"/>
        </w:rPr>
        <w:t>Целевая направленность, стратегические и тактические цели содержания образования</w:t>
      </w:r>
    </w:p>
    <w:p w:rsidR="00C46EA6" w:rsidRDefault="00C46EA6" w:rsidP="00C46EA6">
      <w:pPr>
        <w:ind w:right="-142"/>
        <w:jc w:val="both"/>
        <w:rPr>
          <w:sz w:val="28"/>
        </w:rPr>
      </w:pPr>
    </w:p>
    <w:p w:rsidR="00C46EA6" w:rsidRDefault="00C46EA6" w:rsidP="00C46EA6">
      <w:pPr>
        <w:ind w:right="-142"/>
        <w:jc w:val="both"/>
        <w:rPr>
          <w:sz w:val="28"/>
        </w:rPr>
      </w:pPr>
      <w:r>
        <w:rPr>
          <w:sz w:val="28"/>
        </w:rPr>
        <w:t>План подготовлен с учетом требований Федерального государственного образовательного стандарта начального общего образования, санитарно-эпидемилогич</w:t>
      </w:r>
      <w:r w:rsidR="00D93A39">
        <w:rPr>
          <w:sz w:val="28"/>
        </w:rPr>
        <w:t>еских правил и нормативов, обеспеч</w:t>
      </w:r>
      <w:r>
        <w:rPr>
          <w:sz w:val="28"/>
        </w:rPr>
        <w:t>ивает широту развития личности обучающихся, учитывает социо</w:t>
      </w:r>
      <w:r w:rsidR="00D93A39">
        <w:rPr>
          <w:sz w:val="28"/>
        </w:rPr>
        <w:t>к</w:t>
      </w:r>
      <w:r>
        <w:rPr>
          <w:sz w:val="28"/>
        </w:rPr>
        <w:t xml:space="preserve">ультурные и иные потребности, </w:t>
      </w:r>
      <w:r w:rsidR="00D93A39">
        <w:rPr>
          <w:sz w:val="28"/>
        </w:rPr>
        <w:t>регулирует недопустимость перегрузки обучающихся.</w:t>
      </w:r>
    </w:p>
    <w:p w:rsidR="00D93A39" w:rsidRDefault="00D93A39" w:rsidP="00C46EA6">
      <w:pPr>
        <w:ind w:right="-142"/>
        <w:jc w:val="both"/>
        <w:rPr>
          <w:sz w:val="28"/>
        </w:rPr>
      </w:pPr>
      <w:r>
        <w:rPr>
          <w:sz w:val="28"/>
        </w:rPr>
        <w:t xml:space="preserve">          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93A39" w:rsidRDefault="00D93A39" w:rsidP="00C46EA6">
      <w:pPr>
        <w:ind w:right="-142"/>
        <w:jc w:val="both"/>
        <w:rPr>
          <w:b/>
          <w:i/>
          <w:sz w:val="28"/>
        </w:rPr>
      </w:pPr>
      <w:r w:rsidRPr="00D93A39">
        <w:rPr>
          <w:b/>
          <w:i/>
          <w:sz w:val="28"/>
        </w:rPr>
        <w:t>Основные принципы плана:</w:t>
      </w:r>
    </w:p>
    <w:p w:rsidR="00D93A39" w:rsidRDefault="00D93A39" w:rsidP="00C46EA6">
      <w:pPr>
        <w:ind w:right="-142"/>
        <w:jc w:val="both"/>
        <w:rPr>
          <w:sz w:val="28"/>
        </w:rPr>
      </w:pPr>
      <w:r>
        <w:rPr>
          <w:sz w:val="28"/>
        </w:rPr>
        <w:lastRenderedPageBreak/>
        <w:t>- учет познавательных потребностей обучающихся и социального заказа родителей;</w:t>
      </w:r>
    </w:p>
    <w:p w:rsidR="00D93A39" w:rsidRDefault="00D93A39" w:rsidP="00C46EA6">
      <w:pPr>
        <w:ind w:right="-142"/>
        <w:jc w:val="both"/>
        <w:rPr>
          <w:sz w:val="28"/>
        </w:rPr>
      </w:pPr>
      <w:r>
        <w:rPr>
          <w:sz w:val="28"/>
        </w:rPr>
        <w:t>- учет кадрового потенциала образовательного учреждения;</w:t>
      </w:r>
    </w:p>
    <w:p w:rsidR="00D93A39" w:rsidRDefault="00D93A39" w:rsidP="00C46EA6">
      <w:pPr>
        <w:ind w:right="-142"/>
        <w:jc w:val="both"/>
        <w:rPr>
          <w:sz w:val="28"/>
        </w:rPr>
      </w:pPr>
      <w:r>
        <w:rPr>
          <w:sz w:val="28"/>
        </w:rPr>
        <w:t>- поэтапность развития нововведений;</w:t>
      </w:r>
    </w:p>
    <w:p w:rsidR="00D93A39" w:rsidRDefault="00D93A39" w:rsidP="00C46EA6">
      <w:pPr>
        <w:ind w:right="-142"/>
        <w:jc w:val="both"/>
        <w:rPr>
          <w:sz w:val="28"/>
        </w:rPr>
      </w:pPr>
      <w:r>
        <w:rPr>
          <w:sz w:val="28"/>
        </w:rPr>
        <w:t>- построение образовательного процесса в соответствии с санитарно-гигиеническими нормами;</w:t>
      </w:r>
    </w:p>
    <w:p w:rsidR="00D93A39" w:rsidRDefault="00D93A39" w:rsidP="00C46EA6">
      <w:pPr>
        <w:ind w:right="-142"/>
        <w:jc w:val="both"/>
        <w:rPr>
          <w:sz w:val="28"/>
        </w:rPr>
      </w:pPr>
      <w:r>
        <w:rPr>
          <w:sz w:val="28"/>
        </w:rPr>
        <w:t>- соблюдение преемственности и перспективности обучения.</w:t>
      </w:r>
    </w:p>
    <w:p w:rsidR="00D93A39" w:rsidRDefault="00D93A39" w:rsidP="00C46EA6">
      <w:pPr>
        <w:ind w:right="-142"/>
        <w:jc w:val="both"/>
        <w:rPr>
          <w:sz w:val="28"/>
        </w:rPr>
      </w:pPr>
    </w:p>
    <w:p w:rsidR="00D93A39" w:rsidRDefault="00D93A39" w:rsidP="00C46EA6">
      <w:pPr>
        <w:ind w:right="-142"/>
        <w:jc w:val="both"/>
        <w:rPr>
          <w:sz w:val="28"/>
        </w:rPr>
      </w:pPr>
      <w:r>
        <w:rPr>
          <w:sz w:val="28"/>
        </w:rPr>
        <w:t>Специфика внеурочной деятельности заключается в том, что в условиях общеобразовательного учреждения ребенок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2834CC" w:rsidRDefault="002834CC" w:rsidP="002834CC">
      <w:pPr>
        <w:ind w:right="-142" w:firstLine="709"/>
        <w:jc w:val="both"/>
        <w:rPr>
          <w:sz w:val="28"/>
          <w:szCs w:val="28"/>
        </w:rPr>
      </w:pPr>
      <w:r w:rsidRPr="002834CC">
        <w:rPr>
          <w:sz w:val="28"/>
          <w:szCs w:val="28"/>
        </w:rPr>
        <w:t xml:space="preserve">Внеурочная деятельность - это один из видов деятельности школьников, направленных на социализацию учащихся, развитие их творческих способностей во внеучебное время. </w:t>
      </w:r>
      <w:r>
        <w:rPr>
          <w:sz w:val="28"/>
          <w:szCs w:val="28"/>
        </w:rPr>
        <w:t>Поэтому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любви к окружающей природе, Отечеству, семье, формированию здорового образа жизни.</w:t>
      </w:r>
    </w:p>
    <w:p w:rsidR="002834CC" w:rsidRDefault="002834CC" w:rsidP="002834C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в рамках ЧОУ «Школа имени святителя Тихона Задонского» решает следующие специфические задачи:</w:t>
      </w:r>
    </w:p>
    <w:p w:rsidR="002834CC" w:rsidRDefault="002834CC" w:rsidP="002834C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комфортные условия для позитивного восприятия ценностей начального общего образования и более успешного освоения его содержания;</w:t>
      </w:r>
    </w:p>
    <w:p w:rsidR="002834CC" w:rsidRDefault="002834CC" w:rsidP="002834C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осуществлению воспитания благодаря включению детей в личностно-значимые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2834CC" w:rsidRDefault="002834CC" w:rsidP="002834C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2834CC" w:rsidRDefault="002834CC" w:rsidP="002834C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внеурочной деятельности направлены:</w:t>
      </w:r>
    </w:p>
    <w:p w:rsidR="002834CC" w:rsidRDefault="002834CC" w:rsidP="002834C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расширение содержания программ начального общего образования:</w:t>
      </w:r>
    </w:p>
    <w:p w:rsidR="002834CC" w:rsidRPr="00056F23" w:rsidRDefault="002834CC" w:rsidP="002834C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формирование личности ребенка средствами искусства, творчества, </w:t>
      </w:r>
      <w:r w:rsidRPr="00056F23">
        <w:rPr>
          <w:sz w:val="28"/>
          <w:szCs w:val="28"/>
        </w:rPr>
        <w:t>спорта.</w:t>
      </w:r>
    </w:p>
    <w:p w:rsidR="00056F23" w:rsidRPr="00056F23" w:rsidRDefault="00056F23" w:rsidP="00056F23">
      <w:pPr>
        <w:ind w:right="-142" w:firstLine="709"/>
        <w:jc w:val="both"/>
        <w:rPr>
          <w:sz w:val="28"/>
          <w:szCs w:val="28"/>
        </w:rPr>
      </w:pPr>
      <w:r w:rsidRPr="00056F23">
        <w:rPr>
          <w:sz w:val="28"/>
          <w:szCs w:val="28"/>
        </w:rPr>
        <w:t>При организации внеурочной деятельности учащихся школы используются ресурсы школы.  Занятия проводятся учителями начальных классов, педагогами старшей школы.</w:t>
      </w:r>
    </w:p>
    <w:p w:rsidR="00056F23" w:rsidRPr="00056F23" w:rsidRDefault="00056F23" w:rsidP="00056F23">
      <w:pPr>
        <w:ind w:right="-142" w:firstLine="709"/>
        <w:jc w:val="both"/>
        <w:rPr>
          <w:sz w:val="28"/>
          <w:szCs w:val="28"/>
        </w:rPr>
      </w:pPr>
      <w:r w:rsidRPr="00056F23">
        <w:rPr>
          <w:sz w:val="28"/>
          <w:szCs w:val="28"/>
        </w:rPr>
        <w:t>Внеурочная деятельность представлена по направлениям развития личности, согласно ФГОС НОО: спортивно-оздоровительное, духовно-нравственн</w:t>
      </w:r>
      <w:r w:rsidR="00AF7D6E">
        <w:rPr>
          <w:sz w:val="28"/>
          <w:szCs w:val="28"/>
        </w:rPr>
        <w:t>ое, социальное, общеинтеллектуальное, общекультурное</w:t>
      </w:r>
      <w:r w:rsidRPr="00056F23">
        <w:rPr>
          <w:sz w:val="28"/>
          <w:szCs w:val="28"/>
        </w:rPr>
        <w:t>; в различных формах ее организации, отлич</w:t>
      </w:r>
      <w:r>
        <w:rPr>
          <w:sz w:val="28"/>
          <w:szCs w:val="28"/>
        </w:rPr>
        <w:t>ных от урочной системы обучения</w:t>
      </w:r>
      <w:r w:rsidRPr="00056F23">
        <w:rPr>
          <w:sz w:val="28"/>
          <w:szCs w:val="28"/>
        </w:rPr>
        <w:t>.</w:t>
      </w:r>
    </w:p>
    <w:p w:rsidR="00B82D46" w:rsidRDefault="00B82D46" w:rsidP="0095325E">
      <w:pPr>
        <w:ind w:right="-142"/>
        <w:jc w:val="both"/>
        <w:rPr>
          <w:szCs w:val="28"/>
        </w:rPr>
      </w:pPr>
    </w:p>
    <w:p w:rsidR="00AA641B" w:rsidRDefault="00AA641B" w:rsidP="0095325E">
      <w:pPr>
        <w:ind w:right="-142"/>
        <w:jc w:val="both"/>
        <w:rPr>
          <w:sz w:val="28"/>
          <w:szCs w:val="28"/>
          <w:u w:val="single"/>
        </w:rPr>
      </w:pPr>
    </w:p>
    <w:p w:rsidR="00AA641B" w:rsidRDefault="00AA641B" w:rsidP="0095325E">
      <w:pPr>
        <w:ind w:right="-142"/>
        <w:jc w:val="both"/>
        <w:rPr>
          <w:sz w:val="28"/>
          <w:szCs w:val="28"/>
          <w:u w:val="single"/>
        </w:rPr>
      </w:pPr>
    </w:p>
    <w:p w:rsidR="00A202C6" w:rsidRPr="0095325E" w:rsidRDefault="0095325E" w:rsidP="0095325E">
      <w:pPr>
        <w:ind w:righ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Спортивно-оздоровительное</w:t>
      </w:r>
      <w:r w:rsidR="00A202C6" w:rsidRPr="0095325E">
        <w:rPr>
          <w:sz w:val="28"/>
          <w:szCs w:val="28"/>
          <w:u w:val="single"/>
        </w:rPr>
        <w:t xml:space="preserve"> направление:</w:t>
      </w:r>
    </w:p>
    <w:p w:rsidR="0095325E" w:rsidRPr="0095325E" w:rsidRDefault="00A202C6" w:rsidP="0095325E">
      <w:pPr>
        <w:ind w:right="-142"/>
        <w:jc w:val="both"/>
        <w:rPr>
          <w:sz w:val="28"/>
          <w:szCs w:val="28"/>
        </w:rPr>
      </w:pPr>
      <w:r w:rsidRPr="0095325E">
        <w:rPr>
          <w:sz w:val="28"/>
          <w:szCs w:val="28"/>
        </w:rPr>
        <w:lastRenderedPageBreak/>
        <w:t>Программа «</w:t>
      </w:r>
      <w:r w:rsidR="0095325E">
        <w:rPr>
          <w:i/>
          <w:sz w:val="28"/>
          <w:szCs w:val="28"/>
        </w:rPr>
        <w:t>Расти здоровой</w:t>
      </w:r>
      <w:r w:rsidRPr="0095325E">
        <w:rPr>
          <w:sz w:val="28"/>
          <w:szCs w:val="28"/>
        </w:rPr>
        <w:t xml:space="preserve">»  </w:t>
      </w:r>
      <w:r w:rsidR="0095325E" w:rsidRPr="0095325E">
        <w:rPr>
          <w:sz w:val="28"/>
          <w:szCs w:val="28"/>
        </w:rPr>
        <w:t>предполагает формирование у детей позитивного отношения  к сохранению и поддержанию своего здоровья через активные виды деятельности.</w:t>
      </w:r>
    </w:p>
    <w:p w:rsidR="00A202C6" w:rsidRPr="0095325E" w:rsidRDefault="00A202C6" w:rsidP="0095325E">
      <w:pPr>
        <w:ind w:right="-142"/>
        <w:jc w:val="both"/>
        <w:rPr>
          <w:sz w:val="28"/>
          <w:szCs w:val="28"/>
        </w:rPr>
      </w:pPr>
    </w:p>
    <w:p w:rsidR="00A202C6" w:rsidRPr="0095325E" w:rsidRDefault="0095325E" w:rsidP="0095325E">
      <w:pPr>
        <w:ind w:righ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Духовно-нравственное</w:t>
      </w:r>
      <w:r w:rsidR="00A202C6" w:rsidRPr="0095325E">
        <w:rPr>
          <w:sz w:val="28"/>
          <w:szCs w:val="28"/>
          <w:u w:val="single"/>
        </w:rPr>
        <w:t xml:space="preserve"> направление:</w:t>
      </w:r>
    </w:p>
    <w:p w:rsidR="00A202C6" w:rsidRDefault="0095325E" w:rsidP="0095325E">
      <w:pPr>
        <w:ind w:right="-142"/>
        <w:jc w:val="both"/>
        <w:rPr>
          <w:sz w:val="28"/>
        </w:rPr>
      </w:pPr>
      <w:r>
        <w:rPr>
          <w:sz w:val="28"/>
          <w:szCs w:val="28"/>
        </w:rPr>
        <w:t>Программа «</w:t>
      </w:r>
      <w:r>
        <w:rPr>
          <w:i/>
          <w:sz w:val="28"/>
          <w:szCs w:val="28"/>
        </w:rPr>
        <w:t>Азы Православия</w:t>
      </w:r>
      <w:r w:rsidR="00A202C6" w:rsidRPr="0095325E">
        <w:rPr>
          <w:sz w:val="28"/>
          <w:szCs w:val="28"/>
        </w:rPr>
        <w:t xml:space="preserve">» предполагает </w:t>
      </w:r>
      <w:r w:rsidR="00BB0A15">
        <w:rPr>
          <w:sz w:val="28"/>
          <w:szCs w:val="28"/>
        </w:rPr>
        <w:t xml:space="preserve">формирование </w:t>
      </w:r>
      <w:r w:rsidR="00BB0A15">
        <w:rPr>
          <w:sz w:val="28"/>
        </w:rPr>
        <w:t>основ</w:t>
      </w:r>
      <w:r w:rsidR="00BB0A15" w:rsidRPr="00BB0A15">
        <w:rPr>
          <w:sz w:val="28"/>
        </w:rPr>
        <w:t xml:space="preserve"> христианского мировоззрения через приобщение к православному вероучению и святоотеческому наследию</w:t>
      </w:r>
      <w:r w:rsidR="00E82831">
        <w:rPr>
          <w:sz w:val="28"/>
        </w:rPr>
        <w:t xml:space="preserve">и </w:t>
      </w:r>
      <w:r w:rsidR="00E82831">
        <w:rPr>
          <w:bCs/>
          <w:iCs/>
          <w:sz w:val="28"/>
        </w:rPr>
        <w:t>дает</w:t>
      </w:r>
      <w:r w:rsidR="00E82831" w:rsidRPr="00E82831">
        <w:rPr>
          <w:bCs/>
          <w:iCs/>
          <w:sz w:val="28"/>
        </w:rPr>
        <w:t xml:space="preserve"> представления</w:t>
      </w:r>
      <w:r w:rsidR="00E82831" w:rsidRPr="00E82831">
        <w:rPr>
          <w:sz w:val="28"/>
        </w:rPr>
        <w:t xml:space="preserve"> о системе нравственных ценностей православной традиции</w:t>
      </w:r>
      <w:r w:rsidR="00E82831">
        <w:rPr>
          <w:sz w:val="28"/>
        </w:rPr>
        <w:t>.</w:t>
      </w:r>
    </w:p>
    <w:p w:rsidR="00E82831" w:rsidRPr="00E82831" w:rsidRDefault="00E82831" w:rsidP="0095325E">
      <w:pPr>
        <w:ind w:right="-142"/>
        <w:jc w:val="both"/>
        <w:rPr>
          <w:sz w:val="36"/>
          <w:szCs w:val="28"/>
        </w:rPr>
      </w:pPr>
    </w:p>
    <w:p w:rsidR="00A202C6" w:rsidRDefault="00E82831" w:rsidP="0095325E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Социальное</w:t>
      </w:r>
      <w:r w:rsidR="00A202C6" w:rsidRPr="0095325E">
        <w:rPr>
          <w:sz w:val="28"/>
          <w:szCs w:val="28"/>
          <w:u w:val="single"/>
        </w:rPr>
        <w:t xml:space="preserve">  направление</w:t>
      </w:r>
      <w:r w:rsidR="00A202C6" w:rsidRPr="0095325E">
        <w:rPr>
          <w:sz w:val="28"/>
          <w:szCs w:val="28"/>
        </w:rPr>
        <w:t>:</w:t>
      </w:r>
    </w:p>
    <w:p w:rsidR="00712D91" w:rsidRDefault="00712D91" w:rsidP="00712D91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Pr="00E82831">
        <w:rPr>
          <w:i/>
          <w:sz w:val="28"/>
          <w:szCs w:val="28"/>
        </w:rPr>
        <w:t>Сестрица Аленушка</w:t>
      </w:r>
      <w:r>
        <w:rPr>
          <w:sz w:val="28"/>
          <w:szCs w:val="28"/>
        </w:rPr>
        <w:t xml:space="preserve">» </w:t>
      </w:r>
      <w:r w:rsidRPr="0095325E">
        <w:rPr>
          <w:sz w:val="28"/>
          <w:szCs w:val="28"/>
        </w:rPr>
        <w:t>предполагает формирование у детей знаний и умений по созданию декоративных изделий из текстильных и природных материалов, ознакомление школьников  с основами проектной деятельности.</w:t>
      </w:r>
    </w:p>
    <w:p w:rsidR="00712D91" w:rsidRPr="0095325E" w:rsidRDefault="00712D91" w:rsidP="0095325E">
      <w:pPr>
        <w:ind w:right="-142"/>
        <w:jc w:val="both"/>
        <w:rPr>
          <w:sz w:val="28"/>
          <w:szCs w:val="28"/>
        </w:rPr>
      </w:pPr>
    </w:p>
    <w:p w:rsidR="00A202C6" w:rsidRPr="0095325E" w:rsidRDefault="00E82831" w:rsidP="0095325E">
      <w:pPr>
        <w:ind w:righ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Общеинтеллектуальное</w:t>
      </w:r>
      <w:r w:rsidR="00A202C6" w:rsidRPr="0095325E">
        <w:rPr>
          <w:sz w:val="28"/>
          <w:szCs w:val="28"/>
          <w:u w:val="single"/>
        </w:rPr>
        <w:t xml:space="preserve"> направление:</w:t>
      </w:r>
    </w:p>
    <w:p w:rsidR="00A202C6" w:rsidRDefault="00E82831" w:rsidP="0095325E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</w:t>
      </w:r>
      <w:r w:rsidRPr="00E82831">
        <w:rPr>
          <w:i/>
          <w:sz w:val="28"/>
          <w:szCs w:val="28"/>
        </w:rPr>
        <w:t>Василиса Премудрая</w:t>
      </w:r>
      <w:r>
        <w:rPr>
          <w:sz w:val="28"/>
          <w:szCs w:val="28"/>
        </w:rPr>
        <w:t>» и «</w:t>
      </w:r>
      <w:r w:rsidRPr="00E82831">
        <w:rPr>
          <w:i/>
          <w:sz w:val="28"/>
          <w:szCs w:val="28"/>
        </w:rPr>
        <w:t>Инфознайка</w:t>
      </w:r>
      <w:r>
        <w:rPr>
          <w:sz w:val="28"/>
          <w:szCs w:val="28"/>
        </w:rPr>
        <w:t>» обеспечиваю</w:t>
      </w:r>
      <w:r w:rsidR="00A202C6" w:rsidRPr="0095325E">
        <w:rPr>
          <w:sz w:val="28"/>
          <w:szCs w:val="28"/>
        </w:rPr>
        <w:t>т развитие интеллектуальных общеучебных умений, творческих способностей  учащихся, необходимых для дальнейшей самореализации и формирования личности ребёнка.</w:t>
      </w:r>
    </w:p>
    <w:p w:rsidR="00E82831" w:rsidRPr="0095325E" w:rsidRDefault="00E82831" w:rsidP="0095325E">
      <w:pPr>
        <w:ind w:right="-142"/>
        <w:jc w:val="both"/>
        <w:rPr>
          <w:sz w:val="28"/>
          <w:szCs w:val="28"/>
        </w:rPr>
      </w:pPr>
    </w:p>
    <w:p w:rsidR="00A202C6" w:rsidRPr="0095325E" w:rsidRDefault="00E82831" w:rsidP="0095325E">
      <w:pPr>
        <w:ind w:righ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Общекультурное</w:t>
      </w:r>
      <w:r w:rsidR="00A202C6" w:rsidRPr="0095325E">
        <w:rPr>
          <w:sz w:val="28"/>
          <w:szCs w:val="28"/>
          <w:u w:val="single"/>
        </w:rPr>
        <w:t xml:space="preserve"> направление:</w:t>
      </w:r>
    </w:p>
    <w:p w:rsidR="00712D91" w:rsidRDefault="00712D91" w:rsidP="0095325E">
      <w:pPr>
        <w:ind w:right="-142"/>
        <w:jc w:val="both"/>
        <w:rPr>
          <w:sz w:val="28"/>
          <w:szCs w:val="28"/>
        </w:rPr>
      </w:pPr>
      <w:r w:rsidRPr="0095325E">
        <w:rPr>
          <w:sz w:val="28"/>
          <w:szCs w:val="28"/>
        </w:rPr>
        <w:t xml:space="preserve">Программа   </w:t>
      </w:r>
      <w:r>
        <w:rPr>
          <w:i/>
          <w:sz w:val="28"/>
          <w:szCs w:val="28"/>
        </w:rPr>
        <w:t>«Буквица</w:t>
      </w:r>
      <w:r w:rsidRPr="0095325E">
        <w:rPr>
          <w:i/>
          <w:sz w:val="28"/>
          <w:szCs w:val="28"/>
        </w:rPr>
        <w:t>»</w:t>
      </w:r>
      <w:r w:rsidRPr="0095325E">
        <w:rPr>
          <w:sz w:val="28"/>
          <w:szCs w:val="28"/>
        </w:rPr>
        <w:t xml:space="preserve">  предполагает </w:t>
      </w:r>
      <w:r>
        <w:rPr>
          <w:sz w:val="28"/>
          <w:szCs w:val="28"/>
        </w:rPr>
        <w:t>изучение церковнославянского языка как языка церкви и молитвы и как основание родного русского языка.</w:t>
      </w:r>
    </w:p>
    <w:p w:rsidR="00E82831" w:rsidRPr="00C75F5A" w:rsidRDefault="00C75F5A" w:rsidP="0095325E">
      <w:pPr>
        <w:ind w:right="-142"/>
        <w:jc w:val="both"/>
        <w:rPr>
          <w:sz w:val="36"/>
          <w:szCs w:val="28"/>
        </w:rPr>
      </w:pPr>
      <w:r>
        <w:rPr>
          <w:sz w:val="28"/>
          <w:szCs w:val="28"/>
        </w:rPr>
        <w:t>Программа «</w:t>
      </w:r>
      <w:r>
        <w:rPr>
          <w:i/>
          <w:sz w:val="28"/>
          <w:szCs w:val="28"/>
        </w:rPr>
        <w:t>Библиотечное царство, книжкино государство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создание </w:t>
      </w:r>
      <w:r w:rsidRPr="00C75F5A">
        <w:rPr>
          <w:sz w:val="28"/>
        </w:rPr>
        <w:t xml:space="preserve"> условий для развития читательских умений и интереса к чтениюкниг</w:t>
      </w:r>
      <w:r>
        <w:rPr>
          <w:sz w:val="28"/>
        </w:rPr>
        <w:t xml:space="preserve">, а также </w:t>
      </w:r>
      <w:r w:rsidRPr="00C75F5A">
        <w:rPr>
          <w:sz w:val="28"/>
        </w:rPr>
        <w:t>формирование личностных, коммуникативных, познавательных и регулятивных учебныхумений.</w:t>
      </w:r>
    </w:p>
    <w:p w:rsidR="00E82831" w:rsidRPr="009B2705" w:rsidRDefault="00E82831" w:rsidP="0095325E">
      <w:pPr>
        <w:ind w:right="-142"/>
        <w:jc w:val="both"/>
        <w:rPr>
          <w:sz w:val="28"/>
          <w:szCs w:val="28"/>
        </w:rPr>
      </w:pPr>
    </w:p>
    <w:p w:rsidR="00A202C6" w:rsidRPr="0095325E" w:rsidRDefault="00A202C6" w:rsidP="0095325E">
      <w:pPr>
        <w:ind w:right="-142"/>
        <w:jc w:val="both"/>
        <w:rPr>
          <w:sz w:val="28"/>
          <w:szCs w:val="28"/>
        </w:rPr>
      </w:pPr>
      <w:r w:rsidRPr="0095325E">
        <w:rPr>
          <w:sz w:val="28"/>
          <w:szCs w:val="28"/>
        </w:rPr>
        <w:t>Школа располагает достаточной учебно-методической базой.</w:t>
      </w:r>
    </w:p>
    <w:p w:rsidR="00A202C6" w:rsidRPr="0095325E" w:rsidRDefault="00A202C6" w:rsidP="0095325E">
      <w:pPr>
        <w:ind w:right="-142"/>
        <w:jc w:val="both"/>
        <w:rPr>
          <w:sz w:val="28"/>
          <w:szCs w:val="28"/>
        </w:rPr>
      </w:pPr>
      <w:r w:rsidRPr="0095325E">
        <w:rPr>
          <w:sz w:val="28"/>
          <w:szCs w:val="28"/>
        </w:rPr>
        <w:t>Недельная нагрузка не превышает предельно допустимую.</w:t>
      </w:r>
    </w:p>
    <w:p w:rsidR="00A202C6" w:rsidRPr="0095325E" w:rsidRDefault="00A202C6" w:rsidP="0095325E">
      <w:pPr>
        <w:ind w:right="-142"/>
        <w:jc w:val="both"/>
        <w:rPr>
          <w:sz w:val="28"/>
          <w:szCs w:val="28"/>
        </w:rPr>
      </w:pPr>
      <w:r w:rsidRPr="0095325E">
        <w:rPr>
          <w:sz w:val="28"/>
          <w:szCs w:val="28"/>
        </w:rPr>
        <w:t>Занятия внеурочной деятельности проводятся в соответствии с расписанием в течение всей учебной недели врежимеполного дня.</w:t>
      </w:r>
    </w:p>
    <w:p w:rsidR="00A202C6" w:rsidRPr="00AE4905" w:rsidRDefault="00A202C6" w:rsidP="00A202C6">
      <w:pPr>
        <w:ind w:right="-142" w:firstLine="709"/>
        <w:jc w:val="both"/>
        <w:rPr>
          <w:szCs w:val="28"/>
        </w:rPr>
      </w:pPr>
    </w:p>
    <w:p w:rsidR="00A202C6" w:rsidRDefault="00A202C6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A202C6" w:rsidRDefault="00A202C6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A202C6" w:rsidRDefault="00A202C6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A202C6" w:rsidRDefault="00A202C6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A92772" w:rsidRDefault="00A92772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A92772" w:rsidRDefault="00A92772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A92772" w:rsidRDefault="00A92772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A92772" w:rsidRDefault="00A92772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A92772" w:rsidRDefault="00A92772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A202C6" w:rsidRDefault="00A202C6" w:rsidP="00C75F5A">
      <w:pPr>
        <w:ind w:right="-142"/>
        <w:rPr>
          <w:rFonts w:eastAsia="Calibri"/>
          <w:b/>
          <w:lang w:eastAsia="en-US"/>
        </w:rPr>
      </w:pPr>
    </w:p>
    <w:p w:rsidR="00A202C6" w:rsidRDefault="00A202C6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A202C6" w:rsidRPr="009B2705" w:rsidRDefault="00A202C6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983058" w:rsidRPr="009B2705" w:rsidRDefault="00983058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983058" w:rsidRPr="009B2705" w:rsidRDefault="00983058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983058" w:rsidRPr="009B2705" w:rsidRDefault="00983058" w:rsidP="00A202C6">
      <w:pPr>
        <w:ind w:right="-142" w:firstLine="709"/>
        <w:jc w:val="center"/>
        <w:rPr>
          <w:rFonts w:eastAsia="Calibri"/>
          <w:b/>
          <w:lang w:eastAsia="en-US"/>
        </w:rPr>
      </w:pPr>
    </w:p>
    <w:p w:rsidR="00AA641B" w:rsidRDefault="00AA641B" w:rsidP="00A202C6">
      <w:pPr>
        <w:ind w:right="-142" w:firstLine="709"/>
        <w:jc w:val="center"/>
        <w:rPr>
          <w:rFonts w:eastAsia="Calibri"/>
          <w:b/>
          <w:sz w:val="32"/>
          <w:lang w:eastAsia="en-US"/>
        </w:rPr>
      </w:pPr>
    </w:p>
    <w:p w:rsidR="00A202C6" w:rsidRPr="00AA641B" w:rsidRDefault="00A202C6" w:rsidP="00AA641B">
      <w:pPr>
        <w:ind w:right="-142"/>
        <w:rPr>
          <w:rFonts w:eastAsia="Calibri"/>
          <w:b/>
          <w:sz w:val="32"/>
          <w:lang w:eastAsia="en-US"/>
        </w:rPr>
      </w:pPr>
      <w:r w:rsidRPr="00AA641B">
        <w:rPr>
          <w:rFonts w:eastAsia="Calibri"/>
          <w:b/>
          <w:sz w:val="32"/>
          <w:lang w:eastAsia="en-US"/>
        </w:rPr>
        <w:t>План внеурочной деятельности</w:t>
      </w:r>
    </w:p>
    <w:p w:rsidR="00A202C6" w:rsidRDefault="00A202C6" w:rsidP="00AA641B">
      <w:pPr>
        <w:ind w:right="-142" w:firstLine="709"/>
        <w:rPr>
          <w:rFonts w:eastAsia="Calibri"/>
          <w:b/>
          <w:sz w:val="32"/>
          <w:lang w:eastAsia="en-US"/>
        </w:rPr>
      </w:pPr>
      <w:r w:rsidRPr="00AA641B">
        <w:rPr>
          <w:rFonts w:eastAsia="Calibri"/>
          <w:b/>
          <w:sz w:val="32"/>
          <w:lang w:eastAsia="en-US"/>
        </w:rPr>
        <w:t>начального общего образования</w:t>
      </w:r>
    </w:p>
    <w:p w:rsidR="00D96EE2" w:rsidRPr="00AA641B" w:rsidRDefault="00086121" w:rsidP="00AA641B">
      <w:pPr>
        <w:ind w:right="-142" w:firstLine="709"/>
        <w:rPr>
          <w:rFonts w:eastAsia="Calibri"/>
          <w:color w:val="FF0000"/>
          <w:sz w:val="32"/>
          <w:lang w:eastAsia="en-US"/>
        </w:rPr>
      </w:pPr>
      <w:r>
        <w:rPr>
          <w:rFonts w:eastAsia="Calibri"/>
          <w:b/>
          <w:sz w:val="32"/>
          <w:lang w:eastAsia="en-US"/>
        </w:rPr>
        <w:t xml:space="preserve">                     на 2016-2017</w:t>
      </w:r>
      <w:r w:rsidR="00D96EE2">
        <w:rPr>
          <w:rFonts w:eastAsia="Calibri"/>
          <w:b/>
          <w:sz w:val="32"/>
          <w:lang w:eastAsia="en-US"/>
        </w:rPr>
        <w:t xml:space="preserve"> учебный год</w:t>
      </w:r>
    </w:p>
    <w:p w:rsidR="00A202C6" w:rsidRPr="00986968" w:rsidRDefault="00A202C6" w:rsidP="00A202C6">
      <w:pPr>
        <w:ind w:firstLine="284"/>
        <w:jc w:val="both"/>
        <w:rPr>
          <w:rFonts w:eastAsia="Calibri"/>
          <w:b/>
          <w:lang w:eastAsia="en-US"/>
        </w:rPr>
      </w:pPr>
    </w:p>
    <w:tbl>
      <w:tblPr>
        <w:tblW w:w="10206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7"/>
        <w:gridCol w:w="992"/>
        <w:gridCol w:w="19"/>
        <w:gridCol w:w="33"/>
        <w:gridCol w:w="16"/>
        <w:gridCol w:w="32"/>
        <w:gridCol w:w="911"/>
        <w:gridCol w:w="77"/>
        <w:gridCol w:w="917"/>
        <w:gridCol w:w="992"/>
      </w:tblGrid>
      <w:tr w:rsidR="00A202C6" w:rsidRPr="00986968" w:rsidTr="00712D91">
        <w:trPr>
          <w:trHeight w:val="130"/>
        </w:trPr>
        <w:tc>
          <w:tcPr>
            <w:tcW w:w="6217" w:type="dxa"/>
            <w:tcBorders>
              <w:left w:val="single" w:sz="4" w:space="0" w:color="auto"/>
            </w:tcBorders>
          </w:tcPr>
          <w:p w:rsidR="00A202C6" w:rsidRPr="00AA641B" w:rsidRDefault="00A202C6" w:rsidP="00AA641B">
            <w:pPr>
              <w:jc w:val="center"/>
              <w:rPr>
                <w:b/>
                <w:sz w:val="28"/>
              </w:rPr>
            </w:pPr>
            <w:r w:rsidRPr="00AA641B">
              <w:rPr>
                <w:b/>
                <w:sz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2" w:type="dxa"/>
          </w:tcPr>
          <w:p w:rsidR="00AA641B" w:rsidRDefault="00A202C6" w:rsidP="00AA641B">
            <w:pPr>
              <w:jc w:val="center"/>
              <w:rPr>
                <w:b/>
                <w:sz w:val="28"/>
              </w:rPr>
            </w:pPr>
            <w:r w:rsidRPr="00AA641B">
              <w:rPr>
                <w:b/>
                <w:sz w:val="28"/>
              </w:rPr>
              <w:t xml:space="preserve">I </w:t>
            </w:r>
          </w:p>
          <w:p w:rsidR="00A202C6" w:rsidRPr="00AA641B" w:rsidRDefault="00A202C6" w:rsidP="00AA641B">
            <w:pPr>
              <w:jc w:val="center"/>
              <w:rPr>
                <w:b/>
                <w:sz w:val="28"/>
              </w:rPr>
            </w:pPr>
            <w:r w:rsidRPr="00AA641B">
              <w:rPr>
                <w:b/>
                <w:sz w:val="28"/>
              </w:rPr>
              <w:t>кл.</w:t>
            </w:r>
          </w:p>
        </w:tc>
        <w:tc>
          <w:tcPr>
            <w:tcW w:w="1011" w:type="dxa"/>
            <w:gridSpan w:val="5"/>
          </w:tcPr>
          <w:p w:rsidR="00AA641B" w:rsidRDefault="00A202C6" w:rsidP="00AA641B">
            <w:pPr>
              <w:jc w:val="center"/>
              <w:rPr>
                <w:b/>
                <w:sz w:val="28"/>
              </w:rPr>
            </w:pPr>
            <w:r w:rsidRPr="00AA641B">
              <w:rPr>
                <w:b/>
                <w:sz w:val="28"/>
              </w:rPr>
              <w:t xml:space="preserve">II </w:t>
            </w:r>
          </w:p>
          <w:p w:rsidR="00A202C6" w:rsidRPr="00AA641B" w:rsidRDefault="00A202C6" w:rsidP="00AA641B">
            <w:pPr>
              <w:jc w:val="center"/>
              <w:rPr>
                <w:b/>
                <w:sz w:val="28"/>
              </w:rPr>
            </w:pPr>
            <w:r w:rsidRPr="00AA641B">
              <w:rPr>
                <w:b/>
                <w:sz w:val="28"/>
              </w:rPr>
              <w:t>кл.</w:t>
            </w:r>
          </w:p>
        </w:tc>
        <w:tc>
          <w:tcPr>
            <w:tcW w:w="994" w:type="dxa"/>
            <w:gridSpan w:val="2"/>
          </w:tcPr>
          <w:p w:rsidR="00AA641B" w:rsidRDefault="00A202C6" w:rsidP="00AA641B">
            <w:pPr>
              <w:jc w:val="center"/>
              <w:rPr>
                <w:b/>
                <w:sz w:val="28"/>
              </w:rPr>
            </w:pPr>
            <w:r w:rsidRPr="00AA641B">
              <w:rPr>
                <w:b/>
                <w:sz w:val="28"/>
                <w:lang w:val="en-US"/>
              </w:rPr>
              <w:t>III</w:t>
            </w:r>
          </w:p>
          <w:p w:rsidR="00A202C6" w:rsidRPr="00AA641B" w:rsidRDefault="00A202C6" w:rsidP="00AA641B">
            <w:pPr>
              <w:jc w:val="center"/>
              <w:rPr>
                <w:b/>
                <w:sz w:val="28"/>
              </w:rPr>
            </w:pPr>
            <w:r w:rsidRPr="00AA641B">
              <w:rPr>
                <w:b/>
                <w:sz w:val="28"/>
              </w:rPr>
              <w:t>кл.</w:t>
            </w:r>
          </w:p>
        </w:tc>
        <w:tc>
          <w:tcPr>
            <w:tcW w:w="992" w:type="dxa"/>
          </w:tcPr>
          <w:p w:rsidR="00AA641B" w:rsidRDefault="00A202C6" w:rsidP="00AA641B">
            <w:pPr>
              <w:jc w:val="center"/>
              <w:rPr>
                <w:b/>
                <w:sz w:val="28"/>
              </w:rPr>
            </w:pPr>
            <w:r w:rsidRPr="00AA641B">
              <w:rPr>
                <w:b/>
                <w:sz w:val="28"/>
                <w:lang w:val="en-US"/>
              </w:rPr>
              <w:t>IV</w:t>
            </w:r>
          </w:p>
          <w:p w:rsidR="00A202C6" w:rsidRPr="00AA641B" w:rsidRDefault="00A202C6" w:rsidP="00AA641B">
            <w:pPr>
              <w:jc w:val="center"/>
              <w:rPr>
                <w:b/>
                <w:sz w:val="28"/>
              </w:rPr>
            </w:pPr>
            <w:r w:rsidRPr="00AA641B">
              <w:rPr>
                <w:b/>
                <w:sz w:val="28"/>
              </w:rPr>
              <w:t>кл.</w:t>
            </w:r>
          </w:p>
        </w:tc>
      </w:tr>
      <w:tr w:rsidR="00A202C6" w:rsidRPr="00986968" w:rsidTr="00AA641B">
        <w:trPr>
          <w:trHeight w:val="323"/>
        </w:trPr>
        <w:tc>
          <w:tcPr>
            <w:tcW w:w="9214" w:type="dxa"/>
            <w:gridSpan w:val="9"/>
            <w:tcBorders>
              <w:left w:val="single" w:sz="4" w:space="0" w:color="auto"/>
            </w:tcBorders>
          </w:tcPr>
          <w:p w:rsidR="00A202C6" w:rsidRPr="00AA641B" w:rsidRDefault="00A202C6" w:rsidP="00F85996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AA641B">
              <w:rPr>
                <w:rFonts w:eastAsia="Calibri"/>
                <w:b/>
                <w:i/>
                <w:sz w:val="28"/>
                <w:lang w:eastAsia="en-US"/>
              </w:rPr>
              <w:t>Спортивно-оздоровительное направление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2C6" w:rsidRPr="00986968" w:rsidRDefault="00A202C6" w:rsidP="00F85996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A202C6" w:rsidRPr="00986968" w:rsidTr="00712D91">
        <w:trPr>
          <w:trHeight w:val="315"/>
        </w:trPr>
        <w:tc>
          <w:tcPr>
            <w:tcW w:w="6217" w:type="dxa"/>
            <w:tcBorders>
              <w:left w:val="single" w:sz="4" w:space="0" w:color="auto"/>
            </w:tcBorders>
          </w:tcPr>
          <w:p w:rsidR="00A202C6" w:rsidRPr="00986968" w:rsidRDefault="00AA641B" w:rsidP="00F85996">
            <w:pPr>
              <w:ind w:left="8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Расти здоровой</w:t>
            </w:r>
          </w:p>
        </w:tc>
        <w:tc>
          <w:tcPr>
            <w:tcW w:w="1044" w:type="dxa"/>
            <w:gridSpan w:val="3"/>
          </w:tcPr>
          <w:p w:rsidR="00A202C6" w:rsidRPr="00986968" w:rsidRDefault="00A202C6" w:rsidP="00F85996">
            <w:pPr>
              <w:jc w:val="center"/>
              <w:rPr>
                <w:rFonts w:eastAsia="Calibri"/>
                <w:lang w:eastAsia="en-US"/>
              </w:rPr>
            </w:pPr>
            <w:r w:rsidRPr="009869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9" w:type="dxa"/>
            <w:gridSpan w:val="3"/>
          </w:tcPr>
          <w:p w:rsidR="00A202C6" w:rsidRPr="00986968" w:rsidRDefault="00A202C6" w:rsidP="00F85996">
            <w:pPr>
              <w:jc w:val="center"/>
              <w:rPr>
                <w:rFonts w:eastAsia="Calibri"/>
                <w:lang w:eastAsia="en-US"/>
              </w:rPr>
            </w:pPr>
            <w:r w:rsidRPr="009869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4" w:type="dxa"/>
            <w:gridSpan w:val="2"/>
          </w:tcPr>
          <w:p w:rsidR="00A202C6" w:rsidRPr="00986968" w:rsidRDefault="00A202C6" w:rsidP="00F85996">
            <w:pPr>
              <w:jc w:val="center"/>
              <w:rPr>
                <w:rFonts w:eastAsia="Calibri"/>
                <w:lang w:eastAsia="en-US"/>
              </w:rPr>
            </w:pPr>
            <w:r w:rsidRPr="009869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A202C6" w:rsidRPr="00986968" w:rsidRDefault="00A202C6" w:rsidP="00F859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202C6" w:rsidRPr="00986968" w:rsidTr="00AA641B">
        <w:trPr>
          <w:trHeight w:val="127"/>
        </w:trPr>
        <w:tc>
          <w:tcPr>
            <w:tcW w:w="9214" w:type="dxa"/>
            <w:gridSpan w:val="9"/>
            <w:tcBorders>
              <w:left w:val="single" w:sz="4" w:space="0" w:color="auto"/>
            </w:tcBorders>
          </w:tcPr>
          <w:p w:rsidR="00A202C6" w:rsidRPr="00AA641B" w:rsidRDefault="00AA641B" w:rsidP="00F85996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lang w:eastAsia="en-US"/>
              </w:rPr>
              <w:t xml:space="preserve">                   Духовно-нравственное</w:t>
            </w:r>
            <w:r w:rsidR="00A202C6" w:rsidRPr="00AA641B">
              <w:rPr>
                <w:rFonts w:eastAsia="Calibri"/>
                <w:b/>
                <w:i/>
                <w:sz w:val="28"/>
                <w:lang w:eastAsia="en-US"/>
              </w:rPr>
              <w:t xml:space="preserve"> направление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2C6" w:rsidRPr="00986968" w:rsidRDefault="00A202C6" w:rsidP="00F85996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AA641B" w:rsidRPr="00986968" w:rsidTr="00712D91">
        <w:trPr>
          <w:trHeight w:val="174"/>
        </w:trPr>
        <w:tc>
          <w:tcPr>
            <w:tcW w:w="6217" w:type="dxa"/>
            <w:tcBorders>
              <w:left w:val="single" w:sz="4" w:space="0" w:color="auto"/>
            </w:tcBorders>
          </w:tcPr>
          <w:p w:rsidR="00AA641B" w:rsidRPr="00986968" w:rsidRDefault="00EA7F42" w:rsidP="00F8599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Азы</w:t>
            </w:r>
            <w:r w:rsidR="00AA641B" w:rsidRPr="00AA641B">
              <w:rPr>
                <w:rFonts w:eastAsia="Calibri"/>
                <w:sz w:val="28"/>
                <w:lang w:eastAsia="en-US"/>
              </w:rPr>
              <w:t xml:space="preserve"> Православия</w:t>
            </w:r>
          </w:p>
        </w:tc>
        <w:tc>
          <w:tcPr>
            <w:tcW w:w="1092" w:type="dxa"/>
            <w:gridSpan w:val="5"/>
          </w:tcPr>
          <w:p w:rsidR="00AA641B" w:rsidRPr="00986968" w:rsidRDefault="00AA641B" w:rsidP="00F85996">
            <w:pPr>
              <w:jc w:val="center"/>
              <w:rPr>
                <w:rFonts w:eastAsia="Calibri"/>
                <w:lang w:eastAsia="en-US"/>
              </w:rPr>
            </w:pPr>
            <w:r w:rsidRPr="009869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88" w:type="dxa"/>
            <w:gridSpan w:val="2"/>
          </w:tcPr>
          <w:p w:rsidR="00AA641B" w:rsidRPr="00986968" w:rsidRDefault="00AA641B" w:rsidP="00F85996">
            <w:pPr>
              <w:jc w:val="center"/>
              <w:rPr>
                <w:rFonts w:eastAsia="Calibri"/>
                <w:lang w:eastAsia="en-US"/>
              </w:rPr>
            </w:pPr>
            <w:r w:rsidRPr="009869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7" w:type="dxa"/>
          </w:tcPr>
          <w:p w:rsidR="00AA641B" w:rsidRPr="00986968" w:rsidRDefault="00AA641B" w:rsidP="00F85996">
            <w:pPr>
              <w:jc w:val="center"/>
              <w:rPr>
                <w:rFonts w:eastAsia="Calibri"/>
                <w:lang w:eastAsia="en-US"/>
              </w:rPr>
            </w:pPr>
            <w:r w:rsidRPr="009869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AA641B" w:rsidRPr="00986968" w:rsidRDefault="00AA641B" w:rsidP="00F8599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2D91" w:rsidRPr="00986968" w:rsidTr="00712D91">
        <w:trPr>
          <w:trHeight w:val="174"/>
        </w:trPr>
        <w:tc>
          <w:tcPr>
            <w:tcW w:w="6217" w:type="dxa"/>
            <w:tcBorders>
              <w:left w:val="single" w:sz="4" w:space="0" w:color="auto"/>
            </w:tcBorders>
          </w:tcPr>
          <w:p w:rsidR="00712D91" w:rsidRPr="00986968" w:rsidRDefault="00712D91" w:rsidP="00686335">
            <w:pPr>
              <w:jc w:val="both"/>
              <w:rPr>
                <w:rFonts w:eastAsia="Calibri"/>
                <w:lang w:eastAsia="en-US"/>
              </w:rPr>
            </w:pPr>
            <w:r w:rsidRPr="00C75F5A">
              <w:rPr>
                <w:rFonts w:eastAsia="Calibri"/>
                <w:sz w:val="28"/>
                <w:lang w:eastAsia="en-US"/>
              </w:rPr>
              <w:t>Буквица</w:t>
            </w:r>
          </w:p>
        </w:tc>
        <w:tc>
          <w:tcPr>
            <w:tcW w:w="1092" w:type="dxa"/>
            <w:gridSpan w:val="5"/>
          </w:tcPr>
          <w:p w:rsidR="00712D91" w:rsidRPr="00986968" w:rsidRDefault="00712D91" w:rsidP="006863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gridSpan w:val="2"/>
          </w:tcPr>
          <w:p w:rsidR="00712D91" w:rsidRPr="00986968" w:rsidRDefault="00712D91" w:rsidP="006863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7" w:type="dxa"/>
          </w:tcPr>
          <w:p w:rsidR="00712D91" w:rsidRPr="00986968" w:rsidRDefault="00712D91" w:rsidP="006863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712D91" w:rsidRPr="00986968" w:rsidRDefault="00712D91" w:rsidP="006863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2D91" w:rsidRPr="00986968" w:rsidTr="00AA641B">
        <w:trPr>
          <w:trHeight w:val="170"/>
        </w:trPr>
        <w:tc>
          <w:tcPr>
            <w:tcW w:w="9214" w:type="dxa"/>
            <w:gridSpan w:val="9"/>
            <w:tcBorders>
              <w:left w:val="single" w:sz="4" w:space="0" w:color="auto"/>
            </w:tcBorders>
          </w:tcPr>
          <w:p w:rsidR="00712D91" w:rsidRPr="00AA641B" w:rsidRDefault="00712D91" w:rsidP="00AA641B">
            <w:pPr>
              <w:jc w:val="center"/>
              <w:rPr>
                <w:rFonts w:eastAsia="Calibri"/>
                <w:i/>
                <w:lang w:eastAsia="en-US"/>
              </w:rPr>
            </w:pPr>
            <w:r w:rsidRPr="00AA641B">
              <w:rPr>
                <w:rFonts w:eastAsia="Calibri"/>
                <w:b/>
                <w:i/>
                <w:sz w:val="28"/>
                <w:lang w:eastAsia="en-US"/>
              </w:rPr>
              <w:t>Социальное направление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2D91" w:rsidRPr="00986968" w:rsidRDefault="00712D91" w:rsidP="00F85996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712D91" w:rsidRPr="00986968" w:rsidTr="00712D91">
        <w:trPr>
          <w:trHeight w:val="58"/>
        </w:trPr>
        <w:tc>
          <w:tcPr>
            <w:tcW w:w="6217" w:type="dxa"/>
            <w:tcBorders>
              <w:left w:val="single" w:sz="4" w:space="0" w:color="auto"/>
            </w:tcBorders>
          </w:tcPr>
          <w:p w:rsidR="00712D91" w:rsidRPr="00986968" w:rsidRDefault="00712D91" w:rsidP="00712D9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Сестрица Аленушка</w:t>
            </w:r>
          </w:p>
        </w:tc>
        <w:tc>
          <w:tcPr>
            <w:tcW w:w="1060" w:type="dxa"/>
            <w:gridSpan w:val="4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0" w:type="dxa"/>
            <w:gridSpan w:val="3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7" w:type="dxa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2D91" w:rsidRPr="00986968" w:rsidTr="00AA641B">
        <w:trPr>
          <w:trHeight w:val="377"/>
        </w:trPr>
        <w:tc>
          <w:tcPr>
            <w:tcW w:w="9214" w:type="dxa"/>
            <w:gridSpan w:val="9"/>
            <w:tcBorders>
              <w:left w:val="single" w:sz="4" w:space="0" w:color="auto"/>
            </w:tcBorders>
          </w:tcPr>
          <w:p w:rsidR="00712D91" w:rsidRPr="00AA641B" w:rsidRDefault="00712D91" w:rsidP="00AA641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AA641B">
              <w:rPr>
                <w:rFonts w:eastAsia="Calibri"/>
                <w:b/>
                <w:i/>
                <w:sz w:val="28"/>
                <w:lang w:eastAsia="en-US"/>
              </w:rPr>
              <w:t>Общеинтеллектуальное направление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2D91" w:rsidRPr="00986968" w:rsidRDefault="00712D91" w:rsidP="00F85996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712D91" w:rsidRPr="00986968" w:rsidTr="00712D91">
        <w:trPr>
          <w:trHeight w:val="199"/>
        </w:trPr>
        <w:tc>
          <w:tcPr>
            <w:tcW w:w="6217" w:type="dxa"/>
            <w:tcBorders>
              <w:left w:val="single" w:sz="4" w:space="0" w:color="auto"/>
            </w:tcBorders>
          </w:tcPr>
          <w:p w:rsidR="00712D91" w:rsidRPr="00986968" w:rsidRDefault="00712D91" w:rsidP="00C75F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Василиса Премудрая</w:t>
            </w:r>
          </w:p>
        </w:tc>
        <w:tc>
          <w:tcPr>
            <w:tcW w:w="1011" w:type="dxa"/>
            <w:gridSpan w:val="2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9" w:type="dxa"/>
            <w:gridSpan w:val="5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2D91" w:rsidRPr="00986968" w:rsidTr="00712D91">
        <w:trPr>
          <w:trHeight w:val="199"/>
        </w:trPr>
        <w:tc>
          <w:tcPr>
            <w:tcW w:w="6217" w:type="dxa"/>
            <w:tcBorders>
              <w:left w:val="single" w:sz="4" w:space="0" w:color="auto"/>
            </w:tcBorders>
          </w:tcPr>
          <w:p w:rsidR="00712D91" w:rsidRDefault="00712D91" w:rsidP="00C75F5A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Инфознайка</w:t>
            </w:r>
          </w:p>
        </w:tc>
        <w:tc>
          <w:tcPr>
            <w:tcW w:w="1011" w:type="dxa"/>
            <w:gridSpan w:val="2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9" w:type="dxa"/>
            <w:gridSpan w:val="5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12D91" w:rsidRDefault="00712D91" w:rsidP="00F859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12D91" w:rsidRPr="00986968" w:rsidTr="00AA641B">
        <w:trPr>
          <w:trHeight w:val="131"/>
        </w:trPr>
        <w:tc>
          <w:tcPr>
            <w:tcW w:w="9214" w:type="dxa"/>
            <w:gridSpan w:val="9"/>
            <w:tcBorders>
              <w:left w:val="single" w:sz="4" w:space="0" w:color="auto"/>
            </w:tcBorders>
          </w:tcPr>
          <w:p w:rsidR="00712D91" w:rsidRPr="00AA641B" w:rsidRDefault="00712D91" w:rsidP="00F85996">
            <w:pPr>
              <w:jc w:val="center"/>
              <w:rPr>
                <w:rFonts w:eastAsia="Calibri"/>
                <w:i/>
                <w:lang w:eastAsia="en-US"/>
              </w:rPr>
            </w:pPr>
            <w:r w:rsidRPr="00AA641B">
              <w:rPr>
                <w:rFonts w:eastAsia="Calibri"/>
                <w:b/>
                <w:i/>
                <w:sz w:val="28"/>
                <w:lang w:eastAsia="en-US"/>
              </w:rPr>
              <w:t>Общекультурное направление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2D91" w:rsidRPr="00986968" w:rsidRDefault="00712D91" w:rsidP="00F85996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712D91" w:rsidRPr="00986968" w:rsidTr="00712D91">
        <w:trPr>
          <w:trHeight w:val="131"/>
        </w:trPr>
        <w:tc>
          <w:tcPr>
            <w:tcW w:w="6217" w:type="dxa"/>
            <w:tcBorders>
              <w:left w:val="single" w:sz="4" w:space="0" w:color="auto"/>
            </w:tcBorders>
          </w:tcPr>
          <w:p w:rsidR="00712D91" w:rsidRPr="00C75F5A" w:rsidRDefault="00712D91" w:rsidP="00F85996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Библиотечное царство, книжкино государство</w:t>
            </w:r>
          </w:p>
        </w:tc>
        <w:tc>
          <w:tcPr>
            <w:tcW w:w="992" w:type="dxa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8" w:type="dxa"/>
            <w:gridSpan w:val="6"/>
          </w:tcPr>
          <w:p w:rsidR="00712D91" w:rsidRDefault="00712D91" w:rsidP="00F859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</w:tcPr>
          <w:p w:rsidR="00712D91" w:rsidRDefault="00712D91" w:rsidP="00F859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2D91" w:rsidRPr="00986968" w:rsidTr="00712D91">
        <w:trPr>
          <w:trHeight w:val="131"/>
        </w:trPr>
        <w:tc>
          <w:tcPr>
            <w:tcW w:w="6217" w:type="dxa"/>
            <w:tcBorders>
              <w:left w:val="single" w:sz="4" w:space="0" w:color="auto"/>
            </w:tcBorders>
          </w:tcPr>
          <w:p w:rsidR="00712D91" w:rsidRPr="00134CBA" w:rsidRDefault="00712D91" w:rsidP="00F85996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Открытая проект-студия «Благовест»</w:t>
            </w:r>
          </w:p>
        </w:tc>
        <w:tc>
          <w:tcPr>
            <w:tcW w:w="992" w:type="dxa"/>
          </w:tcPr>
          <w:p w:rsidR="00712D91" w:rsidRDefault="00712D91" w:rsidP="00F859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8" w:type="dxa"/>
            <w:gridSpan w:val="6"/>
          </w:tcPr>
          <w:p w:rsidR="00712D91" w:rsidRDefault="00712D91" w:rsidP="00F859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</w:tcPr>
          <w:p w:rsidR="00712D91" w:rsidRDefault="00712D91" w:rsidP="00F859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12D91" w:rsidRPr="00986968" w:rsidRDefault="00712D91" w:rsidP="00F8599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2D91" w:rsidRPr="00C75F5A" w:rsidTr="00712D91">
        <w:trPr>
          <w:trHeight w:val="169"/>
        </w:trPr>
        <w:tc>
          <w:tcPr>
            <w:tcW w:w="6217" w:type="dxa"/>
            <w:tcBorders>
              <w:left w:val="single" w:sz="4" w:space="0" w:color="auto"/>
            </w:tcBorders>
          </w:tcPr>
          <w:p w:rsidR="00712D91" w:rsidRPr="00C75F5A" w:rsidRDefault="00712D91" w:rsidP="00C75F5A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C75F5A">
              <w:rPr>
                <w:rFonts w:eastAsia="Calibri"/>
                <w:b/>
                <w:sz w:val="28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712D91" w:rsidRPr="00C75F5A" w:rsidRDefault="00712D91" w:rsidP="00C75F5A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C75F5A">
              <w:rPr>
                <w:rFonts w:eastAsia="Calibri"/>
                <w:b/>
                <w:sz w:val="28"/>
                <w:lang w:eastAsia="en-US"/>
              </w:rPr>
              <w:t>5ч</w:t>
            </w:r>
          </w:p>
        </w:tc>
        <w:tc>
          <w:tcPr>
            <w:tcW w:w="1088" w:type="dxa"/>
            <w:gridSpan w:val="6"/>
          </w:tcPr>
          <w:p w:rsidR="00712D91" w:rsidRPr="00C75F5A" w:rsidRDefault="00712D91" w:rsidP="00C75F5A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C75F5A">
              <w:rPr>
                <w:rFonts w:eastAsia="Calibri"/>
                <w:b/>
                <w:sz w:val="28"/>
                <w:lang w:eastAsia="en-US"/>
              </w:rPr>
              <w:t>5ч</w:t>
            </w:r>
          </w:p>
        </w:tc>
        <w:tc>
          <w:tcPr>
            <w:tcW w:w="917" w:type="dxa"/>
          </w:tcPr>
          <w:p w:rsidR="00712D91" w:rsidRPr="00C75F5A" w:rsidRDefault="00712D91" w:rsidP="00C75F5A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C75F5A">
              <w:rPr>
                <w:rFonts w:eastAsia="Calibri"/>
                <w:b/>
                <w:sz w:val="28"/>
                <w:lang w:eastAsia="en-US"/>
              </w:rPr>
              <w:t>5ч</w:t>
            </w:r>
          </w:p>
        </w:tc>
        <w:tc>
          <w:tcPr>
            <w:tcW w:w="992" w:type="dxa"/>
          </w:tcPr>
          <w:p w:rsidR="00712D91" w:rsidRPr="00C75F5A" w:rsidRDefault="00712D91" w:rsidP="00C75F5A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C75F5A">
              <w:rPr>
                <w:rFonts w:eastAsia="Calibri"/>
                <w:b/>
                <w:sz w:val="28"/>
                <w:lang w:eastAsia="en-US"/>
              </w:rPr>
              <w:t>5ч</w:t>
            </w:r>
          </w:p>
        </w:tc>
      </w:tr>
    </w:tbl>
    <w:p w:rsidR="00997D3A" w:rsidRDefault="00997D3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C75F5A" w:rsidRDefault="00C75F5A" w:rsidP="00C75F5A">
      <w:pPr>
        <w:jc w:val="center"/>
        <w:rPr>
          <w:b/>
          <w:sz w:val="28"/>
          <w:lang w:val="en-US"/>
        </w:rPr>
      </w:pPr>
    </w:p>
    <w:p w:rsidR="00983058" w:rsidRDefault="00983058" w:rsidP="00C75F5A">
      <w:pPr>
        <w:jc w:val="center"/>
        <w:rPr>
          <w:b/>
          <w:sz w:val="28"/>
          <w:lang w:val="en-US"/>
        </w:rPr>
      </w:pPr>
    </w:p>
    <w:p w:rsidR="00983058" w:rsidRPr="00983058" w:rsidRDefault="00983058" w:rsidP="00C75F5A">
      <w:pPr>
        <w:jc w:val="center"/>
        <w:rPr>
          <w:b/>
          <w:sz w:val="28"/>
          <w:lang w:val="en-US"/>
        </w:rPr>
      </w:pPr>
    </w:p>
    <w:p w:rsidR="00C75F5A" w:rsidRDefault="00C75F5A" w:rsidP="00C75F5A">
      <w:pPr>
        <w:jc w:val="center"/>
        <w:rPr>
          <w:b/>
          <w:sz w:val="28"/>
        </w:rPr>
      </w:pPr>
    </w:p>
    <w:p w:rsidR="00A92772" w:rsidRDefault="00A92772" w:rsidP="00FD23BF">
      <w:pPr>
        <w:rPr>
          <w:b/>
          <w:sz w:val="28"/>
        </w:rPr>
      </w:pPr>
    </w:p>
    <w:p w:rsidR="00A92772" w:rsidRDefault="00A92772" w:rsidP="00FD23BF">
      <w:pPr>
        <w:rPr>
          <w:b/>
          <w:sz w:val="28"/>
        </w:rPr>
      </w:pPr>
    </w:p>
    <w:p w:rsidR="00FD23BF" w:rsidRDefault="00FD23BF" w:rsidP="00FD23BF">
      <w:pPr>
        <w:rPr>
          <w:b/>
          <w:sz w:val="28"/>
        </w:rPr>
      </w:pPr>
    </w:p>
    <w:p w:rsidR="002E7412" w:rsidRDefault="002E7412" w:rsidP="00FD23BF">
      <w:pPr>
        <w:rPr>
          <w:b/>
          <w:sz w:val="28"/>
        </w:rPr>
      </w:pPr>
      <w:bookmarkStart w:id="0" w:name="_GoBack"/>
      <w:bookmarkEnd w:id="0"/>
    </w:p>
    <w:sectPr w:rsidR="002E7412" w:rsidSect="009F1D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C6"/>
    <w:rsid w:val="00041F63"/>
    <w:rsid w:val="00056F23"/>
    <w:rsid w:val="00086121"/>
    <w:rsid w:val="00113E68"/>
    <w:rsid w:val="00134CBA"/>
    <w:rsid w:val="0019643F"/>
    <w:rsid w:val="001A23E8"/>
    <w:rsid w:val="001A540D"/>
    <w:rsid w:val="002834CC"/>
    <w:rsid w:val="002E7412"/>
    <w:rsid w:val="002F3FD6"/>
    <w:rsid w:val="00345106"/>
    <w:rsid w:val="003734A6"/>
    <w:rsid w:val="003E5E32"/>
    <w:rsid w:val="006254AC"/>
    <w:rsid w:val="00712D91"/>
    <w:rsid w:val="00801DE4"/>
    <w:rsid w:val="008E6896"/>
    <w:rsid w:val="0095325E"/>
    <w:rsid w:val="00983058"/>
    <w:rsid w:val="00997606"/>
    <w:rsid w:val="00997D3A"/>
    <w:rsid w:val="009B2705"/>
    <w:rsid w:val="009F1D77"/>
    <w:rsid w:val="00A202C6"/>
    <w:rsid w:val="00A92772"/>
    <w:rsid w:val="00AA641B"/>
    <w:rsid w:val="00AF7D6E"/>
    <w:rsid w:val="00B82D46"/>
    <w:rsid w:val="00BB0A15"/>
    <w:rsid w:val="00BC79D5"/>
    <w:rsid w:val="00BF7E71"/>
    <w:rsid w:val="00C05B6E"/>
    <w:rsid w:val="00C46EA6"/>
    <w:rsid w:val="00C75F5A"/>
    <w:rsid w:val="00C82CBD"/>
    <w:rsid w:val="00D56745"/>
    <w:rsid w:val="00D93A39"/>
    <w:rsid w:val="00D96EE2"/>
    <w:rsid w:val="00E27076"/>
    <w:rsid w:val="00E82831"/>
    <w:rsid w:val="00EA7F42"/>
    <w:rsid w:val="00F85996"/>
    <w:rsid w:val="00FD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7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97FA-F681-475D-BBCF-4D463F77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2017-09-09T07:28:00Z</cp:lastPrinted>
  <dcterms:created xsi:type="dcterms:W3CDTF">2017-08-15T16:02:00Z</dcterms:created>
  <dcterms:modified xsi:type="dcterms:W3CDTF">2018-02-20T08:47:00Z</dcterms:modified>
</cp:coreProperties>
</file>